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528D" w14:textId="36289775" w:rsidR="00C85382" w:rsidRDefault="00000000">
      <w:pPr>
        <w:pStyle w:val="Heading1"/>
        <w:spacing w:before="79"/>
        <w:ind w:left="2863" w:right="2781" w:hanging="6"/>
        <w:jc w:val="center"/>
      </w:pPr>
      <w:r>
        <w:t>College of Agriculture and Natural Resources College Advisory Council Annual Report 202</w:t>
      </w:r>
      <w:r w:rsidR="00276D71">
        <w:t>5</w:t>
      </w:r>
      <w:r>
        <w:t>-202</w:t>
      </w:r>
      <w:r w:rsidR="00276D71">
        <w:t>6</w:t>
      </w:r>
      <w:r>
        <w:t xml:space="preserve"> </w:t>
      </w:r>
      <w:r w:rsidR="006C3565">
        <w:t>David Skole</w:t>
      </w:r>
      <w:r>
        <w:t xml:space="preserve"> (Chair)</w:t>
      </w:r>
    </w:p>
    <w:p w14:paraId="2408CD02" w14:textId="77777777" w:rsidR="00C85382" w:rsidRDefault="00C85382">
      <w:pPr>
        <w:pStyle w:val="BodyText"/>
        <w:ind w:left="0"/>
        <w:rPr>
          <w:b/>
        </w:rPr>
      </w:pPr>
    </w:p>
    <w:p w14:paraId="00AD7AC8" w14:textId="77777777" w:rsidR="00C85382" w:rsidRDefault="00000000">
      <w:pPr>
        <w:ind w:left="120"/>
        <w:rPr>
          <w:b/>
          <w:sz w:val="24"/>
        </w:rPr>
      </w:pPr>
      <w:r>
        <w:rPr>
          <w:b/>
          <w:sz w:val="24"/>
        </w:rPr>
        <w:t>Members</w:t>
      </w:r>
    </w:p>
    <w:p w14:paraId="122FD854" w14:textId="70569A13" w:rsidR="00276D71" w:rsidRDefault="00000000" w:rsidP="00F469F5">
      <w:pPr>
        <w:pStyle w:val="BodyText"/>
        <w:spacing w:before="161"/>
        <w:ind w:left="119" w:right="229"/>
      </w:pPr>
      <w:r>
        <w:t xml:space="preserve">Voting: </w:t>
      </w:r>
      <w:r w:rsidR="00276D71">
        <w:t>Frank Lupi (</w:t>
      </w:r>
      <w:r w:rsidR="00276D71" w:rsidRPr="00F469F5">
        <w:rPr>
          <w:u w:val="single"/>
        </w:rPr>
        <w:t>Elections Office</w:t>
      </w:r>
      <w:r w:rsidR="00EE5937">
        <w:rPr>
          <w:u w:val="single"/>
        </w:rPr>
        <w:t>r</w:t>
      </w:r>
      <w:r w:rsidR="00276D71">
        <w:t>, Professor, Agriculture, Food, and Resource Economics), Barry Bradford (</w:t>
      </w:r>
      <w:r w:rsidR="00276D71" w:rsidRPr="00276D71">
        <w:t>Professor, C. E. Meadows Endowed Chair</w:t>
      </w:r>
      <w:r w:rsidR="00276D71">
        <w:t xml:space="preserve">, Animal Science), Ajit Srivastava (Professor, </w:t>
      </w:r>
      <w:r w:rsidR="00276D71" w:rsidRPr="00276D71">
        <w:t>Department of Biosystems &amp; Agricultural Engineering</w:t>
      </w:r>
      <w:r w:rsidR="00276D71">
        <w:t>), Lissy Goralnik (</w:t>
      </w:r>
      <w:r w:rsidR="00276D71">
        <w:t>Associate Professor</w:t>
      </w:r>
      <w:r w:rsidR="00276D71">
        <w:t xml:space="preserve">, </w:t>
      </w:r>
      <w:r w:rsidR="00276D71">
        <w:t>Department of Community Sustainability</w:t>
      </w:r>
      <w:r w:rsidR="00276D71">
        <w:t>), David Mota-Sanchez (</w:t>
      </w:r>
      <w:r w:rsidR="00276D71">
        <w:t>Associate Professor, Department of Entomology</w:t>
      </w:r>
      <w:r w:rsidR="00276D71">
        <w:t>), Jean Tsao (</w:t>
      </w:r>
      <w:r w:rsidR="00276D71" w:rsidRPr="00F469F5">
        <w:rPr>
          <w:u w:val="single"/>
        </w:rPr>
        <w:t>Secretary</w:t>
      </w:r>
      <w:r w:rsidR="00276D71">
        <w:t xml:space="preserve">, </w:t>
      </w:r>
      <w:r w:rsidR="00276D71">
        <w:t>Professor</w:t>
      </w:r>
      <w:r w:rsidR="00276D71">
        <w:t xml:space="preserve">, </w:t>
      </w:r>
      <w:r w:rsidR="00276D71">
        <w:t>Department of Fisheries and Wildlife</w:t>
      </w:r>
      <w:r w:rsidR="00276D71">
        <w:t>), Katerine Alaimo (</w:t>
      </w:r>
      <w:r w:rsidR="00F469F5">
        <w:t>Associate Professor,</w:t>
      </w:r>
      <w:r w:rsidR="00F469F5">
        <w:t xml:space="preserve"> </w:t>
      </w:r>
      <w:r w:rsidR="00F469F5">
        <w:t>Department of Food Science and Human Nutrition</w:t>
      </w:r>
      <w:r w:rsidR="00F469F5">
        <w:t>), David Skole (</w:t>
      </w:r>
      <w:r w:rsidR="00F469F5" w:rsidRPr="00F469F5">
        <w:rPr>
          <w:u w:val="single"/>
        </w:rPr>
        <w:t>Chair</w:t>
      </w:r>
      <w:r w:rsidR="00F469F5">
        <w:t>, Professor, Forestry), Courtney Hollender (</w:t>
      </w:r>
      <w:r w:rsidR="00F469F5">
        <w:t>Associate Professor</w:t>
      </w:r>
      <w:r w:rsidR="00F469F5">
        <w:t xml:space="preserve">, </w:t>
      </w:r>
      <w:r w:rsidR="00F469F5">
        <w:t>Department of Horticulture</w:t>
      </w:r>
      <w:r w:rsidR="00F469F5">
        <w:t xml:space="preserve">), Muhammad Rabnawaz (Professor, School of Packaging), David Douches (Professor, </w:t>
      </w:r>
      <w:r w:rsidR="00F469F5" w:rsidRPr="00F469F5">
        <w:t>Department of Plant, Soil and Microbial Sciences</w:t>
      </w:r>
      <w:r w:rsidR="00F469F5">
        <w:t xml:space="preserve">), Dong Zhao (Associate Professor, </w:t>
      </w:r>
      <w:r w:rsidR="00F469F5" w:rsidRPr="00F469F5">
        <w:t>School of Planning, Design and Construction</w:t>
      </w:r>
      <w:r w:rsidR="00F469F5">
        <w:t>)</w:t>
      </w:r>
    </w:p>
    <w:p w14:paraId="6E16CA68" w14:textId="31618898" w:rsidR="00C85382" w:rsidRDefault="00000000" w:rsidP="006704D2">
      <w:pPr>
        <w:pStyle w:val="BodyText"/>
        <w:spacing w:before="158"/>
        <w:ind w:left="120" w:right="229"/>
      </w:pPr>
      <w:r>
        <w:t xml:space="preserve">Non-voting: </w:t>
      </w:r>
      <w:r w:rsidR="00F469F5">
        <w:t>James Dedecker</w:t>
      </w:r>
      <w:r w:rsidR="00E8574D">
        <w:t xml:space="preserve"> (Extension Specialist, MSU Extension), Nathan DuRussell (Chair, Staff Advisory Committee, Horticulture), </w:t>
      </w:r>
      <w:r w:rsidR="00E8574D" w:rsidRPr="00E8574D">
        <w:t>Shatrughan Shiva</w:t>
      </w:r>
      <w:r w:rsidR="00E8574D">
        <w:t xml:space="preserve"> (Graduate Student, Entomology), </w:t>
      </w:r>
      <w:r w:rsidR="006704D2">
        <w:t>Gabriel Kris (Undergraduate Student Fisheries and Wildlife)</w:t>
      </w:r>
      <w:r w:rsidR="00E8574D">
        <w:t xml:space="preserve"> </w:t>
      </w:r>
    </w:p>
    <w:p w14:paraId="7B5FD95F" w14:textId="64B392C1" w:rsidR="00C85382" w:rsidRDefault="00000000">
      <w:pPr>
        <w:pStyle w:val="BodyText"/>
        <w:spacing w:before="161"/>
        <w:ind w:left="120"/>
      </w:pPr>
      <w:r>
        <w:t xml:space="preserve">Ex-officio: </w:t>
      </w:r>
      <w:r w:rsidR="006704D2">
        <w:t>Mia Farrell</w:t>
      </w:r>
      <w:r>
        <w:t xml:space="preserve"> (Professor,</w:t>
      </w:r>
      <w:r w:rsidR="006704D2">
        <w:t xml:space="preserve"> </w:t>
      </w:r>
      <w:r w:rsidR="006704D2" w:rsidRPr="006704D2">
        <w:t>Associate Dean for Faculty Affairs</w:t>
      </w:r>
      <w:r>
        <w:t>)</w:t>
      </w:r>
    </w:p>
    <w:p w14:paraId="2723152A" w14:textId="77777777" w:rsidR="00C85382" w:rsidRDefault="00000000">
      <w:pPr>
        <w:pStyle w:val="Heading1"/>
        <w:spacing w:before="159"/>
      </w:pPr>
      <w:r>
        <w:t>Meetings</w:t>
      </w:r>
    </w:p>
    <w:p w14:paraId="07EFA548" w14:textId="002FDC46" w:rsidR="00C85382" w:rsidRDefault="00000000">
      <w:pPr>
        <w:pStyle w:val="BodyText"/>
        <w:spacing w:before="160"/>
        <w:ind w:left="119"/>
      </w:pPr>
      <w:r>
        <w:t xml:space="preserve">September </w:t>
      </w:r>
      <w:r w:rsidR="006704D2">
        <w:t>12</w:t>
      </w:r>
      <w:r>
        <w:t>, October 1</w:t>
      </w:r>
      <w:r w:rsidR="006704D2">
        <w:t>0</w:t>
      </w:r>
      <w:r>
        <w:t>, November 1</w:t>
      </w:r>
      <w:r w:rsidR="006704D2">
        <w:t>4</w:t>
      </w:r>
      <w:r>
        <w:t xml:space="preserve">, December </w:t>
      </w:r>
      <w:r w:rsidR="006704D2">
        <w:t>12</w:t>
      </w:r>
      <w:r>
        <w:t xml:space="preserve">, January </w:t>
      </w:r>
      <w:r w:rsidR="006704D2">
        <w:t>9</w:t>
      </w:r>
      <w:r>
        <w:t xml:space="preserve">, February </w:t>
      </w:r>
      <w:r w:rsidR="006704D2">
        <w:t>27</w:t>
      </w:r>
      <w:r>
        <w:t xml:space="preserve">, March </w:t>
      </w:r>
      <w:r w:rsidR="006704D2">
        <w:t>13</w:t>
      </w:r>
      <w:r>
        <w:t xml:space="preserve">, April </w:t>
      </w:r>
      <w:r w:rsidR="006704D2">
        <w:t>10</w:t>
      </w:r>
      <w:r>
        <w:t xml:space="preserve">, April </w:t>
      </w:r>
      <w:r w:rsidR="006704D2">
        <w:t>24, May 8</w:t>
      </w:r>
    </w:p>
    <w:p w14:paraId="0FA47767" w14:textId="77777777" w:rsidR="00C85382" w:rsidRDefault="00000000">
      <w:pPr>
        <w:pStyle w:val="Heading1"/>
        <w:spacing w:before="161"/>
      </w:pPr>
      <w:r>
        <w:t>Accomplishments</w:t>
      </w:r>
    </w:p>
    <w:p w14:paraId="758BEC12" w14:textId="77777777" w:rsidR="005E71F1" w:rsidRDefault="005E71F1" w:rsidP="005E71F1">
      <w:pPr>
        <w:pStyle w:val="BodyText"/>
      </w:pPr>
    </w:p>
    <w:p w14:paraId="6B59E92C" w14:textId="77777777" w:rsidR="005E71F1" w:rsidRPr="009F699B" w:rsidRDefault="005E71F1" w:rsidP="005E71F1">
      <w:pPr>
        <w:spacing w:after="160" w:line="278" w:lineRule="auto"/>
        <w:ind w:left="180"/>
      </w:pPr>
      <w:r w:rsidRPr="009F699B">
        <w:t>During the 2025–2026 academic year, the CANR College Advisory Council (CAC) played a central role in supporting shared governance, advising college leadership, and advancing faculty-focused policy initiatives aligned with university priorities.</w:t>
      </w:r>
    </w:p>
    <w:p w14:paraId="7353268E" w14:textId="1C399D55" w:rsidR="005E71F1" w:rsidRPr="005E71F1" w:rsidRDefault="005E71F1" w:rsidP="005E71F1">
      <w:pPr>
        <w:pStyle w:val="ListParagraph"/>
        <w:numPr>
          <w:ilvl w:val="0"/>
          <w:numId w:val="2"/>
        </w:numPr>
      </w:pPr>
      <w:r w:rsidRPr="005E71F1">
        <w:t>CAC engaged substantively in issues affecting Extension faculty, including reviewing and providing feedback on emerging guidance for evaluating Extension appointments in RPT and annual review processes, supporting alignment between Extension scholarship frameworks and broader RPT modernization efforts, and helping communicate new evaluation resources and expectations to units.</w:t>
      </w:r>
    </w:p>
    <w:p w14:paraId="57FB133D" w14:textId="77777777" w:rsidR="005E71F1" w:rsidRPr="005E71F1" w:rsidRDefault="005E71F1" w:rsidP="005E71F1">
      <w:pPr>
        <w:ind w:left="180"/>
      </w:pPr>
    </w:p>
    <w:p w14:paraId="561DFC87" w14:textId="77777777" w:rsidR="005E71F1" w:rsidRPr="005E71F1" w:rsidRDefault="005E71F1" w:rsidP="005E71F1">
      <w:pPr>
        <w:pStyle w:val="ListParagraph"/>
        <w:numPr>
          <w:ilvl w:val="0"/>
          <w:numId w:val="2"/>
        </w:numPr>
        <w:spacing w:after="160" w:line="278" w:lineRule="auto"/>
      </w:pPr>
      <w:r w:rsidRPr="005E71F1">
        <w:t>A major focus of the Council’s work was the development and refinement of a college-level mentoring framework. CAC reviewed existing mentoring practices, collaborated with the Faculty Excellence Advocate, and drafted revisions to mentoring policy and bylaws language to ensure that each unit maintains a mentoring program while preserving mentoring as advisory, confidential, and non-evaluative. The Council also prepared communication materials and implementation guidance to support unit-level engagement and continuous improvement.</w:t>
      </w:r>
    </w:p>
    <w:p w14:paraId="576D9A10" w14:textId="5293C20B" w:rsidR="005E71F1" w:rsidRPr="005E71F1" w:rsidRDefault="005E71F1" w:rsidP="005E71F1">
      <w:pPr>
        <w:pStyle w:val="ListParagraph"/>
        <w:numPr>
          <w:ilvl w:val="0"/>
          <w:numId w:val="2"/>
        </w:numPr>
        <w:spacing w:after="160" w:line="278" w:lineRule="auto"/>
      </w:pPr>
      <w:r w:rsidRPr="005E71F1">
        <w:t xml:space="preserve">Initiated a process for engaging the </w:t>
      </w:r>
      <w:proofErr w:type="gramStart"/>
      <w:r w:rsidRPr="005E71F1">
        <w:t>Provost’s</w:t>
      </w:r>
      <w:proofErr w:type="gramEnd"/>
      <w:r w:rsidRPr="005E71F1">
        <w:t xml:space="preserve"> office new</w:t>
      </w:r>
      <w:r w:rsidRPr="005E71F1">
        <w:t xml:space="preserve"> Reappointment, Promotion, and Tenure (RPT) policy evolution</w:t>
      </w:r>
      <w:r w:rsidRPr="005E71F1">
        <w:t xml:space="preserve"> under IEE framework.</w:t>
      </w:r>
      <w:r w:rsidRPr="005E71F1">
        <w:t xml:space="preserve"> CANR’s designation as a pilot college positioned CAC members to provide input on implementation strategies and faculty engagement across units.</w:t>
      </w:r>
    </w:p>
    <w:p w14:paraId="22BC3B8B" w14:textId="4561C4BC" w:rsidR="005E71F1" w:rsidRPr="005E71F1" w:rsidRDefault="005E71F1" w:rsidP="005E71F1">
      <w:pPr>
        <w:pStyle w:val="ListParagraph"/>
        <w:numPr>
          <w:ilvl w:val="0"/>
          <w:numId w:val="2"/>
        </w:numPr>
        <w:spacing w:after="160" w:line="278" w:lineRule="auto"/>
      </w:pPr>
      <w:r w:rsidRPr="005E71F1">
        <w:t>Active consultation and assistance</w:t>
      </w:r>
      <w:r w:rsidRPr="005E71F1">
        <w:t xml:space="preserve"> </w:t>
      </w:r>
      <w:r w:rsidRPr="005E71F1">
        <w:t xml:space="preserve">through CAC subcommittee </w:t>
      </w:r>
      <w:r w:rsidRPr="005E71F1">
        <w:t>on the development of a Form D automation tool, intended to streamline preparation and review of faculty activity reports. CAC provided feedback on system scope, usability, and privacy considerations, helping guide pilot deployment planning and faculty consultation.</w:t>
      </w:r>
    </w:p>
    <w:p w14:paraId="2A451445" w14:textId="03FA218A" w:rsidR="005E71F1" w:rsidRPr="005E71F1" w:rsidRDefault="005E71F1" w:rsidP="005E71F1">
      <w:pPr>
        <w:pStyle w:val="ListParagraph"/>
        <w:numPr>
          <w:ilvl w:val="0"/>
          <w:numId w:val="2"/>
        </w:numPr>
        <w:spacing w:after="160" w:line="278" w:lineRule="auto"/>
      </w:pPr>
      <w:r w:rsidRPr="005E71F1">
        <w:t>CAC also engaged with university policy implementation, including review and communication of the new Conflict of Interest/Conflict of Commitment (COI/COC) policy, helping clarify expectations and gather faculty questions for follow-up with central administration.</w:t>
      </w:r>
    </w:p>
    <w:p w14:paraId="37276D90" w14:textId="77777777" w:rsidR="005E71F1" w:rsidRPr="005E71F1" w:rsidRDefault="005E71F1" w:rsidP="005E71F1">
      <w:pPr>
        <w:pStyle w:val="ListParagraph"/>
        <w:numPr>
          <w:ilvl w:val="0"/>
          <w:numId w:val="2"/>
        </w:numPr>
        <w:spacing w:after="160" w:line="278" w:lineRule="auto"/>
      </w:pPr>
      <w:r w:rsidRPr="005E71F1">
        <w:lastRenderedPageBreak/>
        <w:t>In preparation for the 2026 All-College Faculty Meeting, the Council worked closely with the Dean’s Office to design a more strategic and engaging meeting structure emphasizing unit strengths, interdisciplinary opportunities, and alignment with college and university priorities.</w:t>
      </w:r>
    </w:p>
    <w:p w14:paraId="40CA7571" w14:textId="77777777" w:rsidR="005E71F1" w:rsidRDefault="005E71F1" w:rsidP="005E71F1">
      <w:pPr>
        <w:pStyle w:val="ListParagraph"/>
        <w:numPr>
          <w:ilvl w:val="0"/>
          <w:numId w:val="2"/>
        </w:numPr>
        <w:spacing w:after="160" w:line="278" w:lineRule="auto"/>
      </w:pPr>
      <w:r w:rsidRPr="009F699B">
        <w:t xml:space="preserve">Throughout the year, CAC served as a key liaison between faculty and college leadership by providing feedback on the evolving university budget model, leadership searches, experiential learning initiatives, and emerging strategic efforts such as the One Health initiative and the proposed College of Health Science. </w:t>
      </w:r>
    </w:p>
    <w:p w14:paraId="7EA306A0" w14:textId="0987FB90" w:rsidR="005E71F1" w:rsidRPr="009F699B" w:rsidRDefault="005E71F1" w:rsidP="005E71F1">
      <w:pPr>
        <w:pStyle w:val="ListParagraph"/>
        <w:numPr>
          <w:ilvl w:val="0"/>
          <w:numId w:val="2"/>
        </w:numPr>
        <w:spacing w:after="160" w:line="278" w:lineRule="auto"/>
      </w:pPr>
      <w:r w:rsidRPr="009F699B">
        <w:t>The Council also supported planning for faculty elections, annual meeting activities, and strengthened communication channels between units and college administration.</w:t>
      </w:r>
    </w:p>
    <w:p w14:paraId="7138D725" w14:textId="4F4215BF" w:rsidR="005E71F1" w:rsidRDefault="005E71F1" w:rsidP="005E71F1">
      <w:pPr>
        <w:pStyle w:val="BodyText"/>
        <w:ind w:left="119"/>
      </w:pPr>
      <w:r w:rsidRPr="009F699B">
        <w:t>Collectively, these efforts strengthened faculty mentoring infrastructure, advanced evaluation policy modernization, supported administrative innovation, and reinforced the Council’s role in promoting transparent and effective shared governance across CANR.</w:t>
      </w:r>
    </w:p>
    <w:p w14:paraId="72D22872" w14:textId="77777777" w:rsidR="005E71F1" w:rsidRDefault="005E71F1" w:rsidP="005E71F1">
      <w:pPr>
        <w:pStyle w:val="BodyText"/>
      </w:pPr>
    </w:p>
    <w:p w14:paraId="1F6B4837" w14:textId="2CA28B99" w:rsidR="00C85382" w:rsidRDefault="00000000" w:rsidP="005E71F1">
      <w:pPr>
        <w:pStyle w:val="Heading1"/>
        <w:spacing w:before="158"/>
      </w:pPr>
      <w:r>
        <w:t>Some Issues Discussed and Acknowledged</w:t>
      </w:r>
    </w:p>
    <w:p w14:paraId="108DEDDE" w14:textId="77777777" w:rsidR="005E71F1" w:rsidRDefault="005E71F1">
      <w:pPr>
        <w:pStyle w:val="BodyText"/>
        <w:spacing w:before="161"/>
        <w:ind w:left="120" w:right="104"/>
        <w:jc w:val="both"/>
      </w:pPr>
    </w:p>
    <w:p w14:paraId="5E620525" w14:textId="43706E70" w:rsidR="005E71F1" w:rsidRPr="009F699B" w:rsidRDefault="005E71F1" w:rsidP="005E71F1">
      <w:pPr>
        <w:tabs>
          <w:tab w:val="left" w:pos="90"/>
          <w:tab w:val="left" w:pos="180"/>
        </w:tabs>
        <w:spacing w:after="160" w:line="278" w:lineRule="auto"/>
        <w:ind w:left="180"/>
      </w:pPr>
      <w:r>
        <w:t xml:space="preserve">The </w:t>
      </w:r>
      <w:r w:rsidRPr="009F699B">
        <w:t xml:space="preserve">College Advisory Council identified </w:t>
      </w:r>
      <w:proofErr w:type="gramStart"/>
      <w:r w:rsidRPr="009F699B">
        <w:t>a number of</w:t>
      </w:r>
      <w:proofErr w:type="gramEnd"/>
      <w:r w:rsidRPr="009F699B">
        <w:t xml:space="preserve"> strategic and operational issues that would benefit from continued deliberation during the coming year.</w:t>
      </w:r>
    </w:p>
    <w:p w14:paraId="716C4244" w14:textId="7A16B0A5" w:rsidR="005E71F1" w:rsidRPr="009F699B" w:rsidRDefault="005E71F1" w:rsidP="005E71F1">
      <w:pPr>
        <w:tabs>
          <w:tab w:val="left" w:pos="90"/>
          <w:tab w:val="left" w:pos="180"/>
        </w:tabs>
        <w:spacing w:after="160" w:line="278" w:lineRule="auto"/>
        <w:ind w:left="180"/>
      </w:pPr>
      <w:r w:rsidRPr="009F699B">
        <w:rPr>
          <w:b/>
          <w:bCs/>
        </w:rPr>
        <w:t>1. Implementation of the College Mentoring Framework</w:t>
      </w:r>
      <w:r w:rsidRPr="009F699B">
        <w:br/>
        <w:t xml:space="preserve">While the Council completed a consensus </w:t>
      </w:r>
      <w:r>
        <w:t>report</w:t>
      </w:r>
      <w:r w:rsidRPr="009F699B">
        <w:t xml:space="preserve"> supporting unit-level mentoring programs and clarified the advisory, non-evaluative nature of mentoring, further work remains to support consistent implementation across units. Areas for continued attention include recognizing mentoring contributions in workload and evaluation contexts, strengthening mentor training resources, maintaining updated guidance materials, and establishing mechanisms for periodic review and continuous improvement at the unit level.</w:t>
      </w:r>
    </w:p>
    <w:p w14:paraId="61372522" w14:textId="77777777" w:rsidR="005E71F1" w:rsidRPr="009F699B" w:rsidRDefault="005E71F1" w:rsidP="005E71F1">
      <w:pPr>
        <w:tabs>
          <w:tab w:val="left" w:pos="90"/>
          <w:tab w:val="left" w:pos="180"/>
        </w:tabs>
        <w:spacing w:after="160" w:line="278" w:lineRule="auto"/>
        <w:ind w:left="180"/>
      </w:pPr>
      <w:r w:rsidRPr="009F699B">
        <w:rPr>
          <w:b/>
          <w:bCs/>
        </w:rPr>
        <w:t>2. Integration of Innovation, Entrepreneurship, and Engagement (IEE) into RPT</w:t>
      </w:r>
      <w:r w:rsidRPr="009F699B">
        <w:br/>
        <w:t>As CANR serves as a pilot college for incorporating IEE into Reappointment, Promotion, and Tenure processes, additional coordination will be needed to develop discipline-appropriate indicators of impact, ensure equitable evaluation practices across units, and communicate expectations clearly to faculty and review committees. Continued collaboration between college leadership, CAC representatives, and university working groups will be important as pilot activities move toward implementation.</w:t>
      </w:r>
    </w:p>
    <w:p w14:paraId="1B988210" w14:textId="77777777" w:rsidR="005E71F1" w:rsidRPr="009F699B" w:rsidRDefault="005E71F1" w:rsidP="005E71F1">
      <w:pPr>
        <w:tabs>
          <w:tab w:val="left" w:pos="90"/>
          <w:tab w:val="left" w:pos="180"/>
        </w:tabs>
        <w:spacing w:after="160" w:line="278" w:lineRule="auto"/>
        <w:ind w:left="180"/>
      </w:pPr>
      <w:r w:rsidRPr="009F699B">
        <w:rPr>
          <w:b/>
          <w:bCs/>
        </w:rPr>
        <w:t>3. Extension Faculty Evaluation and Alignment with RPT Modernization</w:t>
      </w:r>
      <w:r w:rsidRPr="009F699B">
        <w:br/>
        <w:t>CAC discussions highlighted the importance of ensuring that updated Extension evaluation guidance is consistently interpreted and applied across departments. Continued attention may be warranted to support alignment between Extension scholarship expectations, IEE recognition frameworks, and broader college-level evaluation practices, particularly where appointment structures differ across units.</w:t>
      </w:r>
    </w:p>
    <w:p w14:paraId="44C26B31" w14:textId="77777777" w:rsidR="005E71F1" w:rsidRPr="009F699B" w:rsidRDefault="005E71F1" w:rsidP="005E71F1">
      <w:pPr>
        <w:tabs>
          <w:tab w:val="left" w:pos="90"/>
          <w:tab w:val="left" w:pos="180"/>
        </w:tabs>
        <w:spacing w:after="160" w:line="278" w:lineRule="auto"/>
        <w:ind w:left="180"/>
      </w:pPr>
      <w:r w:rsidRPr="009F699B">
        <w:rPr>
          <w:b/>
          <w:bCs/>
        </w:rPr>
        <w:t>4. Form D Automation and Faculty Reporting Systems</w:t>
      </w:r>
      <w:r w:rsidRPr="009F699B">
        <w:br/>
        <w:t>The Council supported ongoing development of Form D automation tools and recognized their potential to reduce administrative burden and improve consistency in faculty reporting. Further work will be needed to address integration with institutional data systems, clarify privacy considerations (particularly related to teaching data), and support faculty adoption during pilot deployment phases.</w:t>
      </w:r>
    </w:p>
    <w:p w14:paraId="7197064C" w14:textId="77777777" w:rsidR="005E71F1" w:rsidRPr="009F699B" w:rsidRDefault="005E71F1" w:rsidP="005E71F1">
      <w:pPr>
        <w:tabs>
          <w:tab w:val="left" w:pos="90"/>
          <w:tab w:val="left" w:pos="180"/>
        </w:tabs>
        <w:spacing w:after="160" w:line="278" w:lineRule="auto"/>
        <w:ind w:left="180"/>
      </w:pPr>
      <w:r w:rsidRPr="009F699B">
        <w:rPr>
          <w:b/>
          <w:bCs/>
        </w:rPr>
        <w:t>5. Transition to the University’s Incentive-Based Budget Model</w:t>
      </w:r>
      <w:r w:rsidRPr="009F699B">
        <w:br/>
        <w:t>CAC discussions acknowledged faculty interest in understanding the implications of the evolving university budget model for unit planning, indirect cost recovery allocation, staffing decisions, and long-term program stability. Continued communication and transparency during the transition period will remain important as the model moves toward full implementation.</w:t>
      </w:r>
    </w:p>
    <w:p w14:paraId="49D98719" w14:textId="77777777" w:rsidR="005E71F1" w:rsidRPr="009F699B" w:rsidRDefault="005E71F1" w:rsidP="005E71F1">
      <w:pPr>
        <w:tabs>
          <w:tab w:val="left" w:pos="90"/>
          <w:tab w:val="left" w:pos="180"/>
        </w:tabs>
        <w:spacing w:after="160" w:line="278" w:lineRule="auto"/>
        <w:ind w:left="180"/>
      </w:pPr>
      <w:r w:rsidRPr="009F699B">
        <w:rPr>
          <w:b/>
          <w:bCs/>
        </w:rPr>
        <w:t>6. Faculty Engagement in Strategic Initiatives</w:t>
      </w:r>
      <w:r w:rsidRPr="009F699B">
        <w:br/>
        <w:t xml:space="preserve">The Council discussed several emerging initiatives—including experiential learning expansion, One Health planning, and </w:t>
      </w:r>
      <w:r w:rsidRPr="009F699B">
        <w:lastRenderedPageBreak/>
        <w:t>potential structural changes associated with the proposed College of Health Science—and noted opportunities to strengthen faculty awareness and participation as these efforts develop. Continued communication channels between leadership and faculty governance bodies will help ensure alignment with CANR’s mission and priorities.</w:t>
      </w:r>
    </w:p>
    <w:p w14:paraId="39209CBB" w14:textId="77777777" w:rsidR="005E71F1" w:rsidRPr="009F699B" w:rsidRDefault="005E71F1" w:rsidP="005E71F1">
      <w:pPr>
        <w:tabs>
          <w:tab w:val="left" w:pos="90"/>
          <w:tab w:val="left" w:pos="180"/>
        </w:tabs>
        <w:spacing w:after="160" w:line="278" w:lineRule="auto"/>
        <w:ind w:left="180"/>
      </w:pPr>
      <w:r w:rsidRPr="009F699B">
        <w:rPr>
          <w:b/>
          <w:bCs/>
        </w:rPr>
        <w:t>7. Annual Faculty Meeting Structure and College Communication</w:t>
      </w:r>
      <w:r w:rsidRPr="009F699B">
        <w:br/>
        <w:t>CAC worked to strengthen the structure and strategic focus of the annual all-college faculty meeting and identified opportunities for continued improvement in cross-unit visibility, collaboration, and communication of college priorities. Future iterations may further enhance engagement by highlighting interdisciplinary opportunities and mission-aligned accomplishments.</w:t>
      </w:r>
    </w:p>
    <w:p w14:paraId="332972D3" w14:textId="77777777" w:rsidR="005E71F1" w:rsidRDefault="005E71F1" w:rsidP="005E71F1"/>
    <w:sectPr w:rsidR="005E71F1">
      <w:type w:val="continuous"/>
      <w:pgSz w:w="12240" w:h="15840"/>
      <w:pgMar w:top="640" w:right="6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C7E16"/>
    <w:multiLevelType w:val="hybridMultilevel"/>
    <w:tmpl w:val="C0065206"/>
    <w:lvl w:ilvl="0" w:tplc="2D709424">
      <w:numFmt w:val="bullet"/>
      <w:lvlText w:val=""/>
      <w:lvlJc w:val="left"/>
      <w:pPr>
        <w:ind w:left="840" w:hanging="360"/>
      </w:pPr>
      <w:rPr>
        <w:rFonts w:ascii="Symbol" w:eastAsia="Symbol" w:hAnsi="Symbol" w:cs="Symbol" w:hint="default"/>
        <w:w w:val="100"/>
        <w:sz w:val="24"/>
        <w:szCs w:val="24"/>
        <w:lang w:val="en-US" w:eastAsia="en-US" w:bidi="en-US"/>
      </w:rPr>
    </w:lvl>
    <w:lvl w:ilvl="1" w:tplc="99DAC168">
      <w:numFmt w:val="bullet"/>
      <w:lvlText w:val="•"/>
      <w:lvlJc w:val="left"/>
      <w:pPr>
        <w:ind w:left="1852" w:hanging="360"/>
      </w:pPr>
      <w:rPr>
        <w:rFonts w:hint="default"/>
        <w:lang w:val="en-US" w:eastAsia="en-US" w:bidi="en-US"/>
      </w:rPr>
    </w:lvl>
    <w:lvl w:ilvl="2" w:tplc="4E683D80">
      <w:numFmt w:val="bullet"/>
      <w:lvlText w:val="•"/>
      <w:lvlJc w:val="left"/>
      <w:pPr>
        <w:ind w:left="2864" w:hanging="360"/>
      </w:pPr>
      <w:rPr>
        <w:rFonts w:hint="default"/>
        <w:lang w:val="en-US" w:eastAsia="en-US" w:bidi="en-US"/>
      </w:rPr>
    </w:lvl>
    <w:lvl w:ilvl="3" w:tplc="DEB8B392">
      <w:numFmt w:val="bullet"/>
      <w:lvlText w:val="•"/>
      <w:lvlJc w:val="left"/>
      <w:pPr>
        <w:ind w:left="3876" w:hanging="360"/>
      </w:pPr>
      <w:rPr>
        <w:rFonts w:hint="default"/>
        <w:lang w:val="en-US" w:eastAsia="en-US" w:bidi="en-US"/>
      </w:rPr>
    </w:lvl>
    <w:lvl w:ilvl="4" w:tplc="79064520">
      <w:numFmt w:val="bullet"/>
      <w:lvlText w:val="•"/>
      <w:lvlJc w:val="left"/>
      <w:pPr>
        <w:ind w:left="4888" w:hanging="360"/>
      </w:pPr>
      <w:rPr>
        <w:rFonts w:hint="default"/>
        <w:lang w:val="en-US" w:eastAsia="en-US" w:bidi="en-US"/>
      </w:rPr>
    </w:lvl>
    <w:lvl w:ilvl="5" w:tplc="47E47F50">
      <w:numFmt w:val="bullet"/>
      <w:lvlText w:val="•"/>
      <w:lvlJc w:val="left"/>
      <w:pPr>
        <w:ind w:left="5900" w:hanging="360"/>
      </w:pPr>
      <w:rPr>
        <w:rFonts w:hint="default"/>
        <w:lang w:val="en-US" w:eastAsia="en-US" w:bidi="en-US"/>
      </w:rPr>
    </w:lvl>
    <w:lvl w:ilvl="6" w:tplc="968601B4">
      <w:numFmt w:val="bullet"/>
      <w:lvlText w:val="•"/>
      <w:lvlJc w:val="left"/>
      <w:pPr>
        <w:ind w:left="6912" w:hanging="360"/>
      </w:pPr>
      <w:rPr>
        <w:rFonts w:hint="default"/>
        <w:lang w:val="en-US" w:eastAsia="en-US" w:bidi="en-US"/>
      </w:rPr>
    </w:lvl>
    <w:lvl w:ilvl="7" w:tplc="CC6270D6">
      <w:numFmt w:val="bullet"/>
      <w:lvlText w:val="•"/>
      <w:lvlJc w:val="left"/>
      <w:pPr>
        <w:ind w:left="7924" w:hanging="360"/>
      </w:pPr>
      <w:rPr>
        <w:rFonts w:hint="default"/>
        <w:lang w:val="en-US" w:eastAsia="en-US" w:bidi="en-US"/>
      </w:rPr>
    </w:lvl>
    <w:lvl w:ilvl="8" w:tplc="3EAA5504">
      <w:numFmt w:val="bullet"/>
      <w:lvlText w:val="•"/>
      <w:lvlJc w:val="left"/>
      <w:pPr>
        <w:ind w:left="8936" w:hanging="360"/>
      </w:pPr>
      <w:rPr>
        <w:rFonts w:hint="default"/>
        <w:lang w:val="en-US" w:eastAsia="en-US" w:bidi="en-US"/>
      </w:rPr>
    </w:lvl>
  </w:abstractNum>
  <w:abstractNum w:abstractNumId="1" w15:restartNumberingAfterBreak="0">
    <w:nsid w:val="782209C3"/>
    <w:multiLevelType w:val="hybridMultilevel"/>
    <w:tmpl w:val="805E13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68714388">
    <w:abstractNumId w:val="0"/>
  </w:num>
  <w:num w:numId="2" w16cid:durableId="181286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82"/>
    <w:rsid w:val="00276D71"/>
    <w:rsid w:val="005E71F1"/>
    <w:rsid w:val="006704D2"/>
    <w:rsid w:val="006C3565"/>
    <w:rsid w:val="009F2635"/>
    <w:rsid w:val="00C85382"/>
    <w:rsid w:val="00E8574D"/>
    <w:rsid w:val="00EE5937"/>
    <w:rsid w:val="00F469F5"/>
    <w:rsid w:val="00F4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CDAE"/>
  <w15:docId w15:val="{79D6BAFE-3936-4B03-BFB1-F40A83A2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1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5E71F1"/>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1037</Words>
  <Characters>7076</Characters>
  <Application>Microsoft Office Word</Application>
  <DocSecurity>0</DocSecurity>
  <Lines>105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Sakalidis, Monique</dc:creator>
  <cp:lastModifiedBy>Skole, David</cp:lastModifiedBy>
  <cp:revision>3</cp:revision>
  <dcterms:created xsi:type="dcterms:W3CDTF">2026-04-08T19:00:00Z</dcterms:created>
  <dcterms:modified xsi:type="dcterms:W3CDTF">2026-04-08T19:01:00Z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20 for Word</vt:lpwstr>
  </property>
  <property fmtid="{D5CDD505-2E9C-101B-9397-08002B2CF9AE}" pid="4" name="LastSaved">
    <vt:filetime>2026-04-08T00:00:00Z</vt:filetime>
  </property>
</Properties>
</file>